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Розничный рынок, ярмарка</w:t>
      </w:r>
    </w:p>
    <w:p>
      <w:r>
        <w:rPr>
          <w:b/>
        </w:rPr>
        <w:t xml:space="preserve">Основание: ПП РФ № 255.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розничный рынок, ярмарка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Разрешение на право организации рынка (кем выдано, дата, номер)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рынка (универсальный / специализированный / сельскохозяйственный) и номенклатура товаров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торговых мест; крытая и открытая части, площадь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посетителей одновременно; дни повышенной посещаемости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Управляющая рынком компания (наименование)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